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2073" w14:textId="7475E546" w:rsidR="00D60A29" w:rsidRPr="00181DEE" w:rsidRDefault="002E3F0A" w:rsidP="00E71F1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0"/>
          <w:szCs w:val="20"/>
        </w:rPr>
      </w:pPr>
      <w:r w:rsidRPr="00181DEE">
        <w:rPr>
          <w:rFonts w:ascii="Calibri" w:hAnsi="Calibri" w:cs="Calibri"/>
          <w:sz w:val="20"/>
          <w:szCs w:val="20"/>
        </w:rPr>
        <w:t>Załącznik nr 4 do umowy</w:t>
      </w:r>
    </w:p>
    <w:p w14:paraId="05107D2C" w14:textId="77777777" w:rsidR="00D60A29" w:rsidRPr="00D60A29" w:rsidRDefault="00D60A29" w:rsidP="00E71F1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</w:p>
    <w:p w14:paraId="5E7F0F33" w14:textId="77777777" w:rsidR="00D60A29" w:rsidRDefault="00D60A29" w:rsidP="00E71F1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0"/>
          <w:szCs w:val="20"/>
        </w:rPr>
      </w:pPr>
    </w:p>
    <w:p w14:paraId="3097BF05" w14:textId="3D9ACC75" w:rsidR="00E71F1A" w:rsidRDefault="00E71F1A" w:rsidP="00E71F1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</w:t>
      </w:r>
      <w:r w:rsidR="00863261"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</w:rPr>
        <w:t>.</w:t>
      </w:r>
    </w:p>
    <w:p w14:paraId="4887F756" w14:textId="2DCA71FD" w:rsidR="00E71F1A" w:rsidRDefault="00E71F1A" w:rsidP="00E71F1A">
      <w:pPr>
        <w:autoSpaceDE w:val="0"/>
        <w:autoSpaceDN w:val="0"/>
        <w:adjustRightInd w:val="0"/>
        <w:spacing w:after="0" w:line="240" w:lineRule="auto"/>
        <w:ind w:left="7080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(miejscowość i data)</w:t>
      </w:r>
    </w:p>
    <w:p w14:paraId="232873E3" w14:textId="77777777" w:rsidR="00E71F1A" w:rsidRDefault="00E71F1A" w:rsidP="00E71F1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..........................................................</w:t>
      </w:r>
    </w:p>
    <w:p w14:paraId="61F2968B" w14:textId="77777777" w:rsidR="00E71F1A" w:rsidRDefault="00E71F1A" w:rsidP="00E71F1A">
      <w:pPr>
        <w:autoSpaceDE w:val="0"/>
        <w:autoSpaceDN w:val="0"/>
        <w:adjustRightInd w:val="0"/>
        <w:spacing w:after="0" w:line="480" w:lineRule="aut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(Nazwisko i Imię)</w:t>
      </w:r>
    </w:p>
    <w:p w14:paraId="32862C7C" w14:textId="77777777" w:rsidR="00E71F1A" w:rsidRDefault="00E71F1A" w:rsidP="00F243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..........................................................</w:t>
      </w:r>
    </w:p>
    <w:p w14:paraId="606570A7" w14:textId="77777777" w:rsidR="00E71F1A" w:rsidRDefault="00E71F1A" w:rsidP="00F243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(Nazwa podmiotu zewnętrznego realizującego </w:t>
      </w:r>
    </w:p>
    <w:p w14:paraId="2E9FAE2E" w14:textId="7B977404" w:rsidR="00E71F1A" w:rsidRDefault="00E71F1A" w:rsidP="00F243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usługi na rzecz Resortu Finansów)</w:t>
      </w:r>
    </w:p>
    <w:p w14:paraId="7C4AC4FF" w14:textId="77777777" w:rsidR="00F2435F" w:rsidRDefault="00F2435F" w:rsidP="00F2435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14:paraId="3EE9E9B0" w14:textId="77777777" w:rsidR="00E71F1A" w:rsidRDefault="00E71F1A" w:rsidP="00E71F1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..........................................................</w:t>
      </w:r>
    </w:p>
    <w:p w14:paraId="2EB6C9A6" w14:textId="77777777" w:rsidR="00E71F1A" w:rsidRDefault="00E71F1A" w:rsidP="00E71F1A">
      <w:pPr>
        <w:autoSpaceDE w:val="0"/>
        <w:autoSpaceDN w:val="0"/>
        <w:adjustRightInd w:val="0"/>
        <w:spacing w:after="0" w:line="480" w:lineRule="aut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(Stanowisko/funkcja)</w:t>
      </w:r>
    </w:p>
    <w:p w14:paraId="3562AE70" w14:textId="77777777" w:rsidR="00E71F1A" w:rsidRDefault="00E71F1A" w:rsidP="00E71F1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14:paraId="25CABCF4" w14:textId="77777777" w:rsidR="00E71F1A" w:rsidRDefault="00E71F1A" w:rsidP="00E71F1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14:paraId="6DBFB44E" w14:textId="77777777" w:rsidR="00E71F1A" w:rsidRDefault="00E71F1A" w:rsidP="00E71F1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14:paraId="6E75021A" w14:textId="77777777" w:rsidR="00E71F1A" w:rsidRDefault="00E71F1A" w:rsidP="00E71F1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14:paraId="19DEA3B2" w14:textId="77777777" w:rsidR="00E71F1A" w:rsidRDefault="00E71F1A" w:rsidP="00E71F1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14:paraId="0D3AAE12" w14:textId="77777777" w:rsidR="00E71F1A" w:rsidRPr="0016799C" w:rsidRDefault="00E71F1A" w:rsidP="00E71F1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16799C">
        <w:rPr>
          <w:rFonts w:cstheme="minorHAnsi"/>
          <w:b/>
          <w:bCs/>
          <w:sz w:val="24"/>
          <w:szCs w:val="24"/>
        </w:rPr>
        <w:t>OŚWIADCZENIE</w:t>
      </w:r>
    </w:p>
    <w:p w14:paraId="1F34AA2E" w14:textId="77777777" w:rsidR="00E71F1A" w:rsidRPr="0016799C" w:rsidRDefault="00E71F1A" w:rsidP="00E71F1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16799C">
        <w:rPr>
          <w:rFonts w:cstheme="minorHAnsi"/>
          <w:b/>
          <w:bCs/>
          <w:sz w:val="24"/>
          <w:szCs w:val="24"/>
        </w:rPr>
        <w:t xml:space="preserve">o zapoznaniu się z </w:t>
      </w:r>
      <w:r w:rsidRPr="0016799C">
        <w:rPr>
          <w:rFonts w:cstheme="minorHAnsi"/>
          <w:b/>
          <w:bCs/>
        </w:rPr>
        <w:t xml:space="preserve">zasadami bezpieczeństwa informacji w Resorcie Finansów </w:t>
      </w:r>
    </w:p>
    <w:p w14:paraId="42715EAF" w14:textId="77777777" w:rsidR="00E71F1A" w:rsidRPr="0016799C" w:rsidRDefault="00E71F1A" w:rsidP="00E71F1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16799C">
        <w:rPr>
          <w:rFonts w:cstheme="minorHAnsi"/>
          <w:b/>
          <w:bCs/>
        </w:rPr>
        <w:t xml:space="preserve">we współpracy z podmiotami zewnętrznymi </w:t>
      </w:r>
    </w:p>
    <w:p w14:paraId="124A2D5A" w14:textId="77777777" w:rsidR="00E71F1A" w:rsidRPr="0016799C" w:rsidRDefault="00E71F1A" w:rsidP="00E71F1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2BA9E00" w14:textId="77777777" w:rsidR="00E71F1A" w:rsidRPr="0016799C" w:rsidRDefault="00E71F1A" w:rsidP="00E71F1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C4C4AB5" w14:textId="77777777" w:rsidR="00E71F1A" w:rsidRPr="0016799C" w:rsidRDefault="00E71F1A" w:rsidP="00E71F1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CB77947" w14:textId="77777777" w:rsidR="00E71F1A" w:rsidRPr="0016799C" w:rsidRDefault="00E71F1A" w:rsidP="00E71F1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5B451F6" w14:textId="40C13DEF" w:rsidR="00E71F1A" w:rsidRPr="0016799C" w:rsidRDefault="00E71F1A" w:rsidP="00E71F1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16799C">
        <w:rPr>
          <w:rFonts w:cstheme="minorHAnsi"/>
          <w:sz w:val="24"/>
          <w:szCs w:val="24"/>
        </w:rPr>
        <w:t xml:space="preserve">W związku z realizacją zobowiązań z tytułu </w:t>
      </w:r>
      <w:r w:rsidR="002E3F0A">
        <w:rPr>
          <w:rFonts w:cstheme="minorHAnsi"/>
          <w:sz w:val="24"/>
          <w:szCs w:val="24"/>
        </w:rPr>
        <w:t>u</w:t>
      </w:r>
      <w:r w:rsidRPr="0016799C">
        <w:rPr>
          <w:rFonts w:cstheme="minorHAnsi"/>
          <w:sz w:val="24"/>
          <w:szCs w:val="24"/>
        </w:rPr>
        <w:t>mowy</w:t>
      </w:r>
      <w:r w:rsidR="0016799C">
        <w:rPr>
          <w:rFonts w:cstheme="minorHAnsi"/>
          <w:sz w:val="24"/>
          <w:szCs w:val="24"/>
        </w:rPr>
        <w:t xml:space="preserve"> </w:t>
      </w:r>
      <w:r w:rsidRPr="0016799C">
        <w:rPr>
          <w:rFonts w:cstheme="minorHAnsi"/>
          <w:sz w:val="24"/>
          <w:szCs w:val="24"/>
        </w:rPr>
        <w:t>Nr…………….. z dnia ……………….... oświadczam, że zapoznałam/em się z</w:t>
      </w:r>
      <w:r w:rsidRPr="0016799C">
        <w:rPr>
          <w:rFonts w:cstheme="minorHAnsi"/>
          <w:b/>
          <w:bCs/>
          <w:sz w:val="24"/>
          <w:szCs w:val="24"/>
        </w:rPr>
        <w:t xml:space="preserve"> </w:t>
      </w:r>
      <w:r w:rsidRPr="00F9242C">
        <w:rPr>
          <w:rFonts w:cstheme="minorHAnsi"/>
          <w:i/>
          <w:iCs/>
        </w:rPr>
        <w:t>Zasadami bezpieczeństwa informacji w Resorcie Finansów we współpracy z podmiotami zewnętrznymi</w:t>
      </w:r>
      <w:r w:rsidRPr="00BC388C">
        <w:rPr>
          <w:rFonts w:cstheme="minorHAnsi"/>
          <w:i/>
          <w:iCs/>
        </w:rPr>
        <w:t xml:space="preserve">, </w:t>
      </w:r>
      <w:r w:rsidRPr="00BC388C">
        <w:rPr>
          <w:rFonts w:cstheme="minorHAnsi"/>
        </w:rPr>
        <w:t>stanowiącymi załącznik do niniejszego oświadczenia</w:t>
      </w:r>
      <w:r w:rsidRPr="0016799C">
        <w:rPr>
          <w:rFonts w:cstheme="minorHAnsi"/>
          <w:sz w:val="24"/>
          <w:szCs w:val="24"/>
        </w:rPr>
        <w:t xml:space="preserve">. </w:t>
      </w:r>
    </w:p>
    <w:p w14:paraId="35F8E034" w14:textId="77777777" w:rsidR="00E71F1A" w:rsidRPr="0016799C" w:rsidRDefault="00E71F1A" w:rsidP="00E71F1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7BDEABB" w14:textId="77777777" w:rsidR="00E71F1A" w:rsidRPr="0016799C" w:rsidRDefault="00E71F1A" w:rsidP="00E71F1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BE2D87B" w14:textId="77777777" w:rsidR="00E71F1A" w:rsidRPr="0016799C" w:rsidRDefault="00E71F1A" w:rsidP="00E71F1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  <w:r w:rsidRPr="0016799C">
        <w:rPr>
          <w:rFonts w:cstheme="minorHAnsi"/>
          <w:sz w:val="20"/>
          <w:szCs w:val="20"/>
        </w:rPr>
        <w:t>..............................................</w:t>
      </w:r>
    </w:p>
    <w:p w14:paraId="0897CAA4" w14:textId="3701D1D4" w:rsidR="00E71F1A" w:rsidRPr="0016799C" w:rsidRDefault="00E71F1A" w:rsidP="00E71F1A">
      <w:pPr>
        <w:autoSpaceDE w:val="0"/>
        <w:autoSpaceDN w:val="0"/>
        <w:adjustRightInd w:val="0"/>
        <w:spacing w:after="0" w:line="240" w:lineRule="auto"/>
        <w:ind w:left="7080"/>
        <w:rPr>
          <w:rFonts w:cstheme="minorHAnsi"/>
          <w:sz w:val="16"/>
          <w:szCs w:val="16"/>
        </w:rPr>
      </w:pPr>
      <w:r w:rsidRPr="0016799C">
        <w:rPr>
          <w:rFonts w:cstheme="minorHAnsi"/>
          <w:sz w:val="16"/>
          <w:szCs w:val="16"/>
        </w:rPr>
        <w:t xml:space="preserve">          ( podpis)</w:t>
      </w:r>
    </w:p>
    <w:p w14:paraId="4245B4E5" w14:textId="77777777" w:rsidR="00E71F1A" w:rsidRPr="00F9242C" w:rsidRDefault="00E71F1A" w:rsidP="00E71F1A">
      <w:pPr>
        <w:rPr>
          <w:rFonts w:cstheme="minorHAnsi"/>
        </w:rPr>
      </w:pPr>
      <w:r w:rsidRPr="00F9242C">
        <w:rPr>
          <w:rFonts w:cstheme="minorHAnsi"/>
        </w:rPr>
        <w:t xml:space="preserve">  </w:t>
      </w:r>
    </w:p>
    <w:p w14:paraId="5F4954C2" w14:textId="7B8E564D" w:rsidR="000847A8" w:rsidRPr="00BC388C" w:rsidRDefault="000847A8" w:rsidP="00FE2751">
      <w:pPr>
        <w:rPr>
          <w:rFonts w:cstheme="minorHAnsi"/>
        </w:rPr>
      </w:pPr>
    </w:p>
    <w:p w14:paraId="489CF752" w14:textId="77777777" w:rsidR="00E71F1A" w:rsidRPr="0016799C" w:rsidRDefault="00E71F1A" w:rsidP="00FE2751">
      <w:pPr>
        <w:pStyle w:val="Nagwek2"/>
        <w:jc w:val="center"/>
        <w:rPr>
          <w:rFonts w:asciiTheme="minorHAnsi" w:hAnsiTheme="minorHAnsi" w:cstheme="minorHAnsi"/>
        </w:rPr>
      </w:pPr>
    </w:p>
    <w:p w14:paraId="6D39DA85" w14:textId="1CEF1CF2" w:rsidR="000047AC" w:rsidRPr="0016799C" w:rsidRDefault="000047AC">
      <w:pPr>
        <w:rPr>
          <w:rFonts w:eastAsiaTheme="majorEastAsia" w:cstheme="minorHAnsi"/>
          <w:b/>
          <w:sz w:val="24"/>
          <w:szCs w:val="26"/>
        </w:rPr>
      </w:pPr>
      <w:r w:rsidRPr="00F9242C">
        <w:rPr>
          <w:rFonts w:cstheme="minorHAnsi"/>
        </w:rPr>
        <w:br w:type="page"/>
      </w:r>
    </w:p>
    <w:p w14:paraId="155E75AF" w14:textId="77777777" w:rsidR="000D6E5C" w:rsidRPr="0016799C" w:rsidRDefault="000D6E5C" w:rsidP="000D6E5C">
      <w:pPr>
        <w:pStyle w:val="Nagwek2"/>
        <w:jc w:val="right"/>
        <w:rPr>
          <w:rFonts w:asciiTheme="minorHAnsi" w:hAnsiTheme="minorHAnsi" w:cstheme="minorHAnsi"/>
          <w:b w:val="0"/>
          <w:bCs/>
          <w:i/>
          <w:iCs/>
        </w:rPr>
      </w:pPr>
      <w:r w:rsidRPr="0016799C">
        <w:rPr>
          <w:rFonts w:asciiTheme="minorHAnsi" w:hAnsiTheme="minorHAnsi" w:cstheme="minorHAnsi"/>
          <w:b w:val="0"/>
          <w:bCs/>
          <w:i/>
          <w:iCs/>
        </w:rPr>
        <w:lastRenderedPageBreak/>
        <w:t>Załącznik do oświadczenia</w:t>
      </w:r>
    </w:p>
    <w:p w14:paraId="20AFDA82" w14:textId="77777777" w:rsidR="000D6E5C" w:rsidRPr="0016799C" w:rsidRDefault="000D6E5C" w:rsidP="00FE2751">
      <w:pPr>
        <w:pStyle w:val="Nagwek2"/>
        <w:jc w:val="center"/>
        <w:rPr>
          <w:rFonts w:asciiTheme="minorHAnsi" w:hAnsiTheme="minorHAnsi" w:cstheme="minorHAnsi"/>
        </w:rPr>
      </w:pPr>
    </w:p>
    <w:p w14:paraId="6215A7A6" w14:textId="78639DF6" w:rsidR="00FF2667" w:rsidRPr="0016799C" w:rsidRDefault="00FE2751" w:rsidP="00FE2751">
      <w:pPr>
        <w:pStyle w:val="Nagwek2"/>
        <w:jc w:val="center"/>
        <w:rPr>
          <w:rFonts w:asciiTheme="minorHAnsi" w:hAnsiTheme="minorHAnsi" w:cstheme="minorHAnsi"/>
        </w:rPr>
      </w:pPr>
      <w:r w:rsidRPr="0016799C">
        <w:rPr>
          <w:rFonts w:asciiTheme="minorHAnsi" w:hAnsiTheme="minorHAnsi" w:cstheme="minorHAnsi"/>
        </w:rPr>
        <w:t>Zasady bezpieczeństwa informacji w Resorcie Finansów</w:t>
      </w:r>
      <w:r w:rsidR="00FF2667" w:rsidRPr="0016799C">
        <w:rPr>
          <w:rFonts w:asciiTheme="minorHAnsi" w:hAnsiTheme="minorHAnsi" w:cstheme="minorHAnsi"/>
        </w:rPr>
        <w:t xml:space="preserve"> </w:t>
      </w:r>
    </w:p>
    <w:p w14:paraId="554AF9FC" w14:textId="28E625CF" w:rsidR="00FE2751" w:rsidRPr="0016799C" w:rsidRDefault="00FF2667" w:rsidP="00FE2751">
      <w:pPr>
        <w:pStyle w:val="Nagwek2"/>
        <w:jc w:val="center"/>
        <w:rPr>
          <w:rFonts w:asciiTheme="minorHAnsi" w:hAnsiTheme="minorHAnsi" w:cstheme="minorHAnsi"/>
        </w:rPr>
      </w:pPr>
      <w:r w:rsidRPr="0016799C">
        <w:rPr>
          <w:rFonts w:asciiTheme="minorHAnsi" w:hAnsiTheme="minorHAnsi" w:cstheme="minorHAnsi"/>
        </w:rPr>
        <w:t>we współpracy z podmiotami zewnętrznymi</w:t>
      </w:r>
    </w:p>
    <w:p w14:paraId="386509FF" w14:textId="251AF5D3" w:rsidR="00FE2751" w:rsidRPr="00BC388C" w:rsidRDefault="00FE2751" w:rsidP="00FE2751">
      <w:pPr>
        <w:keepNext/>
        <w:keepLines/>
        <w:numPr>
          <w:ilvl w:val="0"/>
          <w:numId w:val="2"/>
        </w:numPr>
        <w:spacing w:after="0" w:line="360" w:lineRule="auto"/>
        <w:rPr>
          <w:rFonts w:cstheme="minorHAnsi"/>
        </w:rPr>
      </w:pPr>
      <w:r w:rsidRPr="00F9242C">
        <w:rPr>
          <w:rFonts w:cstheme="minorHAnsi"/>
        </w:rPr>
        <w:t>W Resorcie Finansów</w:t>
      </w:r>
      <w:r w:rsidR="00E71F1A" w:rsidRPr="00F9242C">
        <w:rPr>
          <w:rFonts w:cstheme="minorHAnsi"/>
        </w:rPr>
        <w:t xml:space="preserve"> w ramach współpracy z podmiotami zewnętrznymi </w:t>
      </w:r>
      <w:r w:rsidRPr="00F9242C">
        <w:rPr>
          <w:rFonts w:cstheme="minorHAnsi"/>
        </w:rPr>
        <w:t>stosuje się następujące zasady dotyczące bezpieczeństwa informacji:</w:t>
      </w:r>
    </w:p>
    <w:p w14:paraId="173D4020" w14:textId="77777777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zasada wiedzy koniecznej (ograniczonego dostępu do informacji) – pracownicy posiadają dostęp tylko do tych informacji, które są konieczne do realizacji powierzonych im zadań (różne zadania oznaczają różną wiedzę konieczną do ich wykonania, a tym samym inny profil dostępu);</w:t>
      </w:r>
    </w:p>
    <w:p w14:paraId="23D1BFDA" w14:textId="77777777" w:rsidR="00FE2751" w:rsidRPr="00F9242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zasada potrzeby koniecznej - pracownicy mają zapewniony dostęp tylko do środków przetwarzania informacji (urządzeń teleinformatycznych, systemów, aplikacji, pomieszczeń), które są im konieczne</w:t>
      </w:r>
      <w:r w:rsidRPr="00F9242C">
        <w:rPr>
          <w:rFonts w:cstheme="minorHAnsi"/>
        </w:rPr>
        <w:t xml:space="preserve"> do wykonania powierzonych im zadań;</w:t>
      </w:r>
    </w:p>
    <w:p w14:paraId="40B9D8D3" w14:textId="77777777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BC388C">
        <w:rPr>
          <w:rFonts w:cstheme="minorHAnsi"/>
        </w:rPr>
        <w:t>zasada uprawnionego dostępu – pracownicy są dopuszczeni do przetwarzania informacji prawnie chronionych i przeznaczonych wyłącznie do użytku wewnętrznego po uzyskaniu wiedzy z zasad postępowania, w tym ochrony, określonych grup informacj</w:t>
      </w:r>
      <w:r w:rsidRPr="0016799C">
        <w:rPr>
          <w:rFonts w:cstheme="minorHAnsi"/>
          <w:strike/>
        </w:rPr>
        <w:t>i,</w:t>
      </w:r>
      <w:r w:rsidRPr="0016799C">
        <w:rPr>
          <w:rFonts w:cstheme="minorHAnsi"/>
        </w:rPr>
        <w:t xml:space="preserve"> oraz do odbycia szkolenia z zasad ochrony informacji (w celu spełnienia kryteria dopuszczenia do przetwarzania określonych informacji i danych); </w:t>
      </w:r>
    </w:p>
    <w:p w14:paraId="34BFED32" w14:textId="36D350CD" w:rsidR="00FE2751" w:rsidRPr="00F9242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zasada obecności koniecznej – prawo przebywania w obszarze przetwarzania, w tym przechowywania infor</w:t>
      </w:r>
      <w:r w:rsidRPr="00BC388C">
        <w:rPr>
          <w:rFonts w:cstheme="minorHAnsi"/>
        </w:rPr>
        <w:t>macji i danych prawnie chronionych i wrażliwych, mogą mieć tylko osoby upoważnione</w:t>
      </w:r>
      <w:r w:rsidR="00BC388C" w:rsidRPr="0016799C">
        <w:rPr>
          <w:rFonts w:cstheme="minorHAnsi"/>
        </w:rPr>
        <w:t>. P</w:t>
      </w:r>
      <w:r w:rsidRPr="0016799C">
        <w:rPr>
          <w:rFonts w:cstheme="minorHAnsi"/>
        </w:rPr>
        <w:t>rzebywanie</w:t>
      </w:r>
      <w:r w:rsidRPr="00F9242C">
        <w:rPr>
          <w:rFonts w:cstheme="minorHAnsi"/>
        </w:rPr>
        <w:t xml:space="preserve"> osób nieupoważnionych w tym obszarze jest możliwe wyłącznie w obecności upoważnionych pracowników;</w:t>
      </w:r>
    </w:p>
    <w:p w14:paraId="41FB6923" w14:textId="77777777" w:rsidR="00FE2751" w:rsidRPr="00BC388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BC388C">
        <w:rPr>
          <w:rFonts w:cstheme="minorHAnsi"/>
        </w:rPr>
        <w:t>zasada świadomości zbiorowej - wszyscy pracownicy mają świadomość konieczności ochrony aktywów informacyjnych i aktywnie uczestniczą w tym procesie; świadomość pracowników w zakresie istniejących zagrożeń i zasad ochrony informacji jest podnoszona, w szczególności przez szkolenia i działania informacyjne;</w:t>
      </w:r>
    </w:p>
    <w:p w14:paraId="2DCE91F4" w14:textId="45B83B31" w:rsid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BC388C">
        <w:rPr>
          <w:rFonts w:cstheme="minorHAnsi"/>
        </w:rPr>
        <w:t>indywidualnej odpowiedzialności – za utrzymanie odpowiedniego poziomu bezpieczeństwa poszczególnych aktywów lub ich elementów odpowiadają konkretne osoby, w zakresie nałożonych na nich obowiązków i nadanych im uprawnień. Zasada ta dotyczy np. powierzonego sprzętu</w:t>
      </w:r>
      <w:r w:rsidR="0016799C">
        <w:rPr>
          <w:rFonts w:cstheme="minorHAnsi"/>
        </w:rPr>
        <w:t>:</w:t>
      </w:r>
      <w:r w:rsidRPr="00BC388C">
        <w:rPr>
          <w:rFonts w:cstheme="minorHAnsi"/>
        </w:rPr>
        <w:t xml:space="preserve"> </w:t>
      </w:r>
    </w:p>
    <w:p w14:paraId="776DADFA" w14:textId="47C3ABE1" w:rsidR="0016799C" w:rsidRDefault="00FE2751" w:rsidP="0016799C">
      <w:pPr>
        <w:pStyle w:val="Nagwek"/>
        <w:keepNext/>
        <w:keepLines/>
        <w:spacing w:line="360" w:lineRule="auto"/>
        <w:ind w:left="1077"/>
        <w:rPr>
          <w:rFonts w:cstheme="minorHAnsi"/>
        </w:rPr>
      </w:pPr>
      <w:r w:rsidRPr="00BC388C">
        <w:rPr>
          <w:rFonts w:cstheme="minorHAnsi"/>
        </w:rPr>
        <w:lastRenderedPageBreak/>
        <w:t>- każdy pracownik odpowiada za powierzony mu do użytkowania sprzęt komputerowy, wydruków z systemu centralnego wydruku</w:t>
      </w:r>
      <w:r w:rsidR="0016799C">
        <w:rPr>
          <w:rFonts w:cstheme="minorHAnsi"/>
        </w:rPr>
        <w:t>,</w:t>
      </w:r>
      <w:r w:rsidRPr="00BC388C">
        <w:rPr>
          <w:rFonts w:cstheme="minorHAnsi"/>
        </w:rPr>
        <w:t xml:space="preserve"> </w:t>
      </w:r>
    </w:p>
    <w:p w14:paraId="64FD329D" w14:textId="68C20CB0" w:rsidR="00FE2751" w:rsidRPr="00F9242C" w:rsidRDefault="00FE2751" w:rsidP="0016799C">
      <w:pPr>
        <w:pStyle w:val="Nagwek"/>
        <w:keepNext/>
        <w:keepLines/>
        <w:spacing w:line="360" w:lineRule="auto"/>
        <w:ind w:left="1077"/>
        <w:rPr>
          <w:rFonts w:cstheme="minorHAnsi"/>
        </w:rPr>
      </w:pPr>
      <w:r w:rsidRPr="00BC388C">
        <w:rPr>
          <w:rFonts w:cstheme="minorHAnsi"/>
        </w:rPr>
        <w:t>- każdy pracownik odpowiada za sporządzony przez siebie wydruk;</w:t>
      </w:r>
    </w:p>
    <w:p w14:paraId="608B9523" w14:textId="77777777" w:rsidR="00FE2751" w:rsidRPr="00BC388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F9242C">
        <w:rPr>
          <w:rFonts w:cstheme="minorHAnsi"/>
        </w:rPr>
        <w:t xml:space="preserve">rozdzielenia obowiązków - zadania krytyczne z punktu widzenia bezpieczeństwa systemu nie mogą być realizowane przez jedną osobę. Obowiązki </w:t>
      </w:r>
      <w:r w:rsidRPr="00BC388C">
        <w:rPr>
          <w:rFonts w:cstheme="minorHAnsi"/>
        </w:rPr>
        <w:t xml:space="preserve">i odpowiedzialności pozostające w konflikcie ze sobą należy rozdzielić w celu ograniczenia okazji do nieuprawnionej lub nieumyślnej modyfikacji lub nadużycia aktywów organizacji, w szczególności należy rozdzielić realizację funkcji operacyjnych od nadzorczych i kontrolnych; </w:t>
      </w:r>
    </w:p>
    <w:p w14:paraId="65E55354" w14:textId="6FA761AD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BC388C">
        <w:rPr>
          <w:rFonts w:cstheme="minorHAnsi"/>
        </w:rPr>
        <w:t>czystego biurka - podczas nieobecności pracownika na stanowisku pracy, także w przypadku krótkotrwałego opuszczenia pomieszczenia, dokumenty i informatyczne no</w:t>
      </w:r>
      <w:r w:rsidRPr="0016799C">
        <w:rPr>
          <w:rFonts w:cstheme="minorHAnsi"/>
        </w:rPr>
        <w:t>śniki danych zawierające informacje prawnie chronione lub przeznaczone wyłącznie do użytku wewnętrznego należy zabezpieczyć przed dostępem osób postronnych i</w:t>
      </w:r>
      <w:r w:rsidR="00E71F1A" w:rsidRPr="0016799C">
        <w:rPr>
          <w:rFonts w:cstheme="minorHAnsi"/>
        </w:rPr>
        <w:t> </w:t>
      </w:r>
      <w:r w:rsidRPr="0016799C">
        <w:rPr>
          <w:rFonts w:cstheme="minorHAnsi"/>
        </w:rPr>
        <w:t>nieupoważnionych. Środki organizacyjno-techniczne dot. przechowywania dokumentów i informatycznych nośników danych dostosowywane są zidentyfikowanego ryzyka, z</w:t>
      </w:r>
      <w:r w:rsidR="00E71F1A" w:rsidRPr="0016799C">
        <w:rPr>
          <w:rFonts w:cstheme="minorHAnsi"/>
        </w:rPr>
        <w:t> </w:t>
      </w:r>
      <w:r w:rsidRPr="0016799C">
        <w:rPr>
          <w:rFonts w:cstheme="minorHAnsi"/>
        </w:rPr>
        <w:t>wykorzystaniem m.in. nieprzeszklonych, zamykanych na klucz mebli biurowych, szaf metalowych zamykanych na klucz lub kod, przeznaczonych do tego pomieszczeń zamykanych na klucz lub wyposażonych w system kontroli dostępu;</w:t>
      </w:r>
    </w:p>
    <w:p w14:paraId="29BAA1C5" w14:textId="73121661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czystego ekranu - na czas nieobecności pracownika dostęp do komputera jest blokowany, a po zakończeniu pracy komputer jest wyłączany, chyba że dany komputer musi pracować w trybie ciągłym – w szczególności dotyczy to serwera obsługującego systemy alarmowe, komputerów administratorów, serwerów do monitoringu. W czasie obecności pracownika monitor jest ustawiony tak, aby nie pozwalał na zapoznawanie się z</w:t>
      </w:r>
      <w:r w:rsidR="000047AC" w:rsidRPr="0016799C">
        <w:rPr>
          <w:rFonts w:cstheme="minorHAnsi"/>
        </w:rPr>
        <w:t> </w:t>
      </w:r>
      <w:r w:rsidRPr="0016799C">
        <w:rPr>
          <w:rFonts w:cstheme="minorHAnsi"/>
        </w:rPr>
        <w:t>wyświetlanymi treściami przez osoby postronne, nieupoważnione;</w:t>
      </w:r>
    </w:p>
    <w:p w14:paraId="77DCDDC0" w14:textId="78F04EFA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czystego kosza – dokumenty papierowe, z wyjątkiem materiałów zawierających informacje publicznie dostępne, w tym promocyjno-informacyjne, muszą być niszczone w</w:t>
      </w:r>
      <w:r w:rsidR="00E71F1A" w:rsidRPr="0016799C">
        <w:rPr>
          <w:rFonts w:cstheme="minorHAnsi"/>
        </w:rPr>
        <w:t> </w:t>
      </w:r>
      <w:r w:rsidRPr="0016799C">
        <w:rPr>
          <w:rFonts w:cstheme="minorHAnsi"/>
        </w:rPr>
        <w:t>sposób uniemożliwiający ich odczytanie lub odtworzenie. W celu zniszczenia dokumentów papierowych zawierających informacje   prawnie chronione i przeznaczone wyłącznie do użytku wewnętrznego należy korzystać z udostępnionych niszczarek o</w:t>
      </w:r>
      <w:r w:rsidR="00E71F1A" w:rsidRPr="0016799C">
        <w:rPr>
          <w:rFonts w:cstheme="minorHAnsi"/>
        </w:rPr>
        <w:t> </w:t>
      </w:r>
      <w:r w:rsidRPr="0016799C">
        <w:rPr>
          <w:rFonts w:cstheme="minorHAnsi"/>
        </w:rPr>
        <w:t xml:space="preserve">odpowiedniej klasie niszczenia, adekwatnej do informacji oraz danych utrwalonych na niszczonych dokumentach. Niszczenie informatycznych nośników danych należy przeprowadzić zgodnie z zasadami określonymi w </w:t>
      </w:r>
      <w:r w:rsidR="00FF2667" w:rsidRPr="0016799C">
        <w:rPr>
          <w:rFonts w:cstheme="minorHAnsi"/>
        </w:rPr>
        <w:t>umowie/porozumieniu</w:t>
      </w:r>
      <w:r w:rsidRPr="0016799C">
        <w:rPr>
          <w:rFonts w:cstheme="minorHAnsi"/>
        </w:rPr>
        <w:t>;</w:t>
      </w:r>
    </w:p>
    <w:p w14:paraId="6F34111F" w14:textId="77777777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lastRenderedPageBreak/>
        <w:t xml:space="preserve">czystej tablicy - po zakończonym spotkaniu należy uprzątnąć wszystkie materiały oraz wyczyścić tablice oraz flipchart (tablice do szkoleń); </w:t>
      </w:r>
    </w:p>
    <w:p w14:paraId="3B81D490" w14:textId="77777777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czystych drukarek – w przypadku drukowania dokumentów z użyciem ogólnodostępnej drukarki drukowane informacje są zabierane z drukarek niezwłocznie po wydrukowaniu. W przypadku nieudanej próby wydrukowania użytkownik ma obowiązek skontaktować się z osobą odpowiedzialną za eksploatację urządzenia, jeżeli zachodzi podejrzenie, iż wydruk zostanie wydrukowany bez nadzoru;</w:t>
      </w:r>
    </w:p>
    <w:p w14:paraId="7EC46D5A" w14:textId="585B399E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poufności informacji uwierzytelniających – każdy pracownik jest  obowiązany do zachowania poufności udostępnionych mu haseł, kodów dostępu, kodów PIN, w szczególności do systemów informacyjnych;</w:t>
      </w:r>
    </w:p>
    <w:p w14:paraId="50A41C1E" w14:textId="077331D5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prywatności kont w systemach – każdy użytkownik jest obowiązany do pracy w systemach informacyjnych wyłącznie na przypisanych lub udostępnionych mu kontach, które jednoznacznie go identyfikują. Zabronione jest udostępnianie własnych kont osobom trzecim. Zasada ta ma również zastosowanie do kart wykorzystywanych w</w:t>
      </w:r>
      <w:r w:rsidR="00E71F1A" w:rsidRPr="0016799C">
        <w:rPr>
          <w:rFonts w:cstheme="minorHAnsi"/>
        </w:rPr>
        <w:t> </w:t>
      </w:r>
      <w:r w:rsidRPr="0016799C">
        <w:rPr>
          <w:rFonts w:cstheme="minorHAnsi"/>
        </w:rPr>
        <w:t xml:space="preserve">systemach kontroli dostępu funkcjonujących w Resorcie Finansów. Stosowanie się do tej reguły pozwala zachować rozliczalność działań użytkowników; </w:t>
      </w:r>
    </w:p>
    <w:p w14:paraId="42D77FA4" w14:textId="77777777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 xml:space="preserve">dyskrecji – wszelkie informacje służbowe mogą być przekazywane innym osobom uprawnionym do pozyskania tych informacji zgodnie z obowiązującymi przepisami prawa i przyjętymi w Resorcie Finansów zasadami; </w:t>
      </w:r>
    </w:p>
    <w:p w14:paraId="6048A120" w14:textId="77777777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zamkniętego pomieszczenia – niedopuszczalne jest pozostawienie pod nieobecność pracownika niezabezpieczonego pomieszczenia służbowego, zarówno w godzinach pracy, jak i po jej zakończeniu. Na zakończenie dnia pracy ostatnia wychodząca z pomieszczenia osoba jest obowiązana zamknąć wszystkie okna i drzwi oraz zabezpieczyć klucze do pomieszczenia;</w:t>
      </w:r>
    </w:p>
    <w:p w14:paraId="5D5A2DB4" w14:textId="77777777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zgłaszania incydentów bezpieczeństwa informacji i naruszeń ochrony danych osobowych – każdy użytkownik ma obowiązek niezwłocznie zgłosić wystąpienie lub podejrzenie wystąpienia incydentu lub naruszenia mającego lub mogącego mieć wpływ na bezpieczeństwo informacji, w tym danych osobowych w Resorcie Finansów;</w:t>
      </w:r>
    </w:p>
    <w:p w14:paraId="67982D80" w14:textId="77777777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bezpiecznej współpracy z podmiotami zewnętrznymi – dokumenty regulujące współpracę, w tym umowy, porozumienia, zawierają stosowne klauzule bezpieczeństwa, w tym o zachowaniu poufności, zasadach postępowania z pozyskaną informacją, niszczenia lub zwrotu aktywów informacyjnych po zakończeniu współpracy;</w:t>
      </w:r>
    </w:p>
    <w:p w14:paraId="541682E8" w14:textId="77777777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lastRenderedPageBreak/>
        <w:t>automatyzacji backupu - procesy tworzenia kopii zapasowych są odpowiednio zaplanowane z uwzględnieniem wymogów prawnych i potrzeb Resortu Finansów, jak również są zautomatyzowane oraz niemożliwe do przerwania przez pracownika;</w:t>
      </w:r>
    </w:p>
    <w:p w14:paraId="7EA8DE56" w14:textId="77777777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legalnego oprogramowania – na serwerach i stacjach roboczych jest zainstalowane wyłącznie legalne oprogramowanie;</w:t>
      </w:r>
    </w:p>
    <w:p w14:paraId="2F668433" w14:textId="0FA60904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ochrony zewnętrznych (wymiennych) nośników danych – dane i informacje utrwalone na zewnętrznych nośnikach danych i wynoszone poza pomieszczenia użytkowane przez Resort Finansów są odpowiednio zabezpieczone przed nieuprawnionym dostępem, zniszczeniem oraz utratą integralności w czasie transportu i przechowywania. W</w:t>
      </w:r>
      <w:r w:rsidR="00E71F1A" w:rsidRPr="0016799C">
        <w:rPr>
          <w:rFonts w:cstheme="minorHAnsi"/>
        </w:rPr>
        <w:t> </w:t>
      </w:r>
      <w:r w:rsidRPr="0016799C">
        <w:rPr>
          <w:rFonts w:cstheme="minorHAnsi"/>
        </w:rPr>
        <w:t xml:space="preserve">szczególności dotyczy to informacji prawnie chronionych np. tajemnicy skarbowej, tajemnicy celnej, danych osobowych. </w:t>
      </w:r>
    </w:p>
    <w:p w14:paraId="0AEA7538" w14:textId="7D8B866A" w:rsidR="00FE2751" w:rsidRPr="0016799C" w:rsidRDefault="00FE2751" w:rsidP="00FE2751">
      <w:pPr>
        <w:pStyle w:val="Nagwek"/>
        <w:keepNext/>
        <w:keepLines/>
        <w:numPr>
          <w:ilvl w:val="0"/>
          <w:numId w:val="3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zasada bezpieczeństwa informacji w usługach chmurowych - wszystkie dane przetwarzane w usługach chmurowych muszą być lokalizowane w regionach Europejskiego Obszaru Gospodarczego (EOG), z preferencją regionów zlokalizowanych w</w:t>
      </w:r>
      <w:r w:rsidR="00E71F1A" w:rsidRPr="0016799C">
        <w:rPr>
          <w:rFonts w:cstheme="minorHAnsi"/>
        </w:rPr>
        <w:t> </w:t>
      </w:r>
      <w:r w:rsidRPr="0016799C">
        <w:rPr>
          <w:rFonts w:cstheme="minorHAnsi"/>
        </w:rPr>
        <w:t>Polsce. Odstępstwa od tej zasady wymagają uprzedniej zgody DBE MF, opartej na analizie ryzyka wraz z zastosowaniem mechanizmów transferowych i technicznych środków ochrony (np. szyfrowanie, kontrola kluczy). W przypadku, gdy przetwarzanie obejmuje dane osobowe, odstępstwa od lokalizacji EOG wymagają również oceny zgodności transferu danych zgodnie z RODO oraz zastosowania adekwatnych mechanizmów transferowych i środków technicznych.</w:t>
      </w:r>
    </w:p>
    <w:p w14:paraId="5F9F8CE7" w14:textId="77777777" w:rsidR="00FE2751" w:rsidRPr="0016799C" w:rsidRDefault="00FE2751" w:rsidP="00FE2751">
      <w:pPr>
        <w:keepNext/>
        <w:keepLines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16799C">
        <w:rPr>
          <w:rFonts w:cstheme="minorHAnsi"/>
        </w:rPr>
        <w:t>Stosowanie zabezpieczeń lub ich grup uwzględnia następujące zasady:</w:t>
      </w:r>
    </w:p>
    <w:p w14:paraId="06ED7687" w14:textId="77777777" w:rsidR="00FE2751" w:rsidRPr="0016799C" w:rsidRDefault="00FE2751" w:rsidP="00FE2751">
      <w:pPr>
        <w:pStyle w:val="Nagwek"/>
        <w:keepNext/>
        <w:keepLines/>
        <w:numPr>
          <w:ilvl w:val="0"/>
          <w:numId w:val="5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minimalny stosowany poziom zabezpieczeń odpowiada wymogom obowiązujących przepisów prawa;</w:t>
      </w:r>
    </w:p>
    <w:p w14:paraId="5EE8CF24" w14:textId="77777777" w:rsidR="00FE2751" w:rsidRPr="0016799C" w:rsidRDefault="00FE2751" w:rsidP="00FE2751">
      <w:pPr>
        <w:pStyle w:val="Nagwek"/>
        <w:keepNext/>
        <w:keepLines/>
        <w:numPr>
          <w:ilvl w:val="0"/>
          <w:numId w:val="5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zabezpieczenia są wdrażane we wszystkich obszarach określonych w deklaracji stosowania zabezpieczeń, zgodnie z wymogami normy ISO/IEC 27001 i zasadami określonymi w normie ISO/IEC 27002;</w:t>
      </w:r>
    </w:p>
    <w:p w14:paraId="245F7777" w14:textId="77777777" w:rsidR="00FE2751" w:rsidRPr="0016799C" w:rsidRDefault="00FE2751" w:rsidP="00FE2751">
      <w:pPr>
        <w:pStyle w:val="Nagwek"/>
        <w:keepNext/>
        <w:keepLines/>
        <w:numPr>
          <w:ilvl w:val="0"/>
          <w:numId w:val="5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używane mechanizmy zabezpieczeń są adekwatne (odpowiednie) do zagrożeń, podatności, wartości aktywów oraz wyników szacowania ryzyka w bezpieczeństwie informacji;</w:t>
      </w:r>
    </w:p>
    <w:p w14:paraId="7D76CC78" w14:textId="4B257974" w:rsidR="00FE2751" w:rsidRPr="0016799C" w:rsidRDefault="00FE2751" w:rsidP="00FE2751">
      <w:pPr>
        <w:pStyle w:val="Nagwek"/>
        <w:keepNext/>
        <w:keepLines/>
        <w:numPr>
          <w:ilvl w:val="0"/>
          <w:numId w:val="5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w doborze zabezpieczeń należy uwzględnić zalecenia i rekomendacje sformułowane w</w:t>
      </w:r>
      <w:r w:rsidR="00E71F1A" w:rsidRPr="0016799C">
        <w:rPr>
          <w:rFonts w:cstheme="minorHAnsi"/>
        </w:rPr>
        <w:t> </w:t>
      </w:r>
      <w:r w:rsidRPr="0016799C">
        <w:rPr>
          <w:rFonts w:cstheme="minorHAnsi"/>
        </w:rPr>
        <w:t>wyniku przeprowadzonych audytów bezpieczeństwa i kontroli;</w:t>
      </w:r>
    </w:p>
    <w:p w14:paraId="518F194B" w14:textId="77777777" w:rsidR="00FE2751" w:rsidRPr="0016799C" w:rsidRDefault="00FE2751" w:rsidP="00FE2751">
      <w:pPr>
        <w:pStyle w:val="Nagwek"/>
        <w:keepNext/>
        <w:keepLines/>
        <w:numPr>
          <w:ilvl w:val="0"/>
          <w:numId w:val="5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lastRenderedPageBreak/>
        <w:t xml:space="preserve">zabezpieczenia fizyczne, techniczne, prawne i organizacyjne uzupełniają się wzajemnie (grupy zabezpieczeń), zapewniając wymagany poziom bezpieczeństwa informacji; </w:t>
      </w:r>
    </w:p>
    <w:p w14:paraId="79CA3C44" w14:textId="77777777" w:rsidR="00FE2751" w:rsidRPr="0016799C" w:rsidRDefault="00FE2751" w:rsidP="00FE2751">
      <w:pPr>
        <w:pStyle w:val="Nagwek"/>
        <w:keepNext/>
        <w:keepLines/>
        <w:numPr>
          <w:ilvl w:val="0"/>
          <w:numId w:val="5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należy unikać niepotrzebnego dublowania zabezpieczeń, przy uwzględnieniu racjonalnego gospodarowania środkami publicznymi, optymalizacji potrzeb oraz ograniczeń i uwarunkowań prawno-organizacyjnych Resortu Finansów;</w:t>
      </w:r>
    </w:p>
    <w:p w14:paraId="5E76FDBA" w14:textId="77777777" w:rsidR="00FE2751" w:rsidRPr="0016799C" w:rsidRDefault="00FE2751" w:rsidP="00FE2751">
      <w:pPr>
        <w:pStyle w:val="Nagwek"/>
        <w:keepNext/>
        <w:keepLines/>
        <w:numPr>
          <w:ilvl w:val="0"/>
          <w:numId w:val="5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niedopuszczalne jest tymczasowe wyłączanie mechanizmów zabezpieczających systemy informacyjne funkcjonujące w Resorcie Finansów bez zastosowania alternatywnych mechanizmów; systemy są sprawne i przygotowane na wystąpienie zidentyfikowanych zagrożeń;</w:t>
      </w:r>
    </w:p>
    <w:p w14:paraId="15F0C0AF" w14:textId="77777777" w:rsidR="00FE2751" w:rsidRPr="0016799C" w:rsidRDefault="00FE2751" w:rsidP="00FE2751">
      <w:pPr>
        <w:pStyle w:val="Nagwek"/>
        <w:keepNext/>
        <w:keepLines/>
        <w:numPr>
          <w:ilvl w:val="0"/>
          <w:numId w:val="5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domniemanej odmowy - przyjęcia jako standardowych najbardziej restrykcyjnych ustawień, które można zwolnić jedynie w określonych sytuacjach („to, co nie jest dozwolone, jest zabronione”);</w:t>
      </w:r>
    </w:p>
    <w:p w14:paraId="501CB391" w14:textId="77777777" w:rsidR="00FE2751" w:rsidRPr="0016799C" w:rsidRDefault="00FE2751" w:rsidP="00FE2751">
      <w:pPr>
        <w:pStyle w:val="Nagwek"/>
        <w:keepNext/>
        <w:keepLines/>
        <w:numPr>
          <w:ilvl w:val="0"/>
          <w:numId w:val="5"/>
        </w:numPr>
        <w:spacing w:line="360" w:lineRule="auto"/>
        <w:rPr>
          <w:rFonts w:cstheme="minorHAnsi"/>
        </w:rPr>
      </w:pPr>
      <w:r w:rsidRPr="0016799C">
        <w:rPr>
          <w:rFonts w:cstheme="minorHAnsi"/>
        </w:rPr>
        <w:t>ciągłego doskonalenia – SZBI jest stale monitorowany, stosowane zabezpieczenia są dostosowywane do zmieniających się warunków wewnętrznych i zewnętrznych, w celu zapewnienia ich przydatności, adekwatności i skuteczności.</w:t>
      </w:r>
    </w:p>
    <w:p w14:paraId="1E91CDA6" w14:textId="5A8B0E94" w:rsidR="00FE2751" w:rsidRPr="0016799C" w:rsidRDefault="00FE2751" w:rsidP="00FE2751">
      <w:pPr>
        <w:rPr>
          <w:rFonts w:cstheme="minorHAnsi"/>
        </w:rPr>
      </w:pPr>
    </w:p>
    <w:p w14:paraId="23BB233A" w14:textId="77777777" w:rsidR="00FE2751" w:rsidRPr="0016799C" w:rsidRDefault="00FE2751" w:rsidP="00FE2751">
      <w:pPr>
        <w:rPr>
          <w:rFonts w:cstheme="minorHAnsi"/>
        </w:rPr>
      </w:pPr>
    </w:p>
    <w:sectPr w:rsidR="00FE2751" w:rsidRPr="001679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635BA" w14:textId="77777777" w:rsidR="00672ADC" w:rsidRDefault="00672ADC" w:rsidP="00E71F1A">
      <w:pPr>
        <w:spacing w:after="0" w:line="240" w:lineRule="auto"/>
      </w:pPr>
      <w:r>
        <w:separator/>
      </w:r>
    </w:p>
  </w:endnote>
  <w:endnote w:type="continuationSeparator" w:id="0">
    <w:p w14:paraId="64695CEB" w14:textId="77777777" w:rsidR="00672ADC" w:rsidRDefault="00672ADC" w:rsidP="00E71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766561"/>
      <w:docPartObj>
        <w:docPartGallery w:val="Page Numbers (Bottom of Page)"/>
        <w:docPartUnique/>
      </w:docPartObj>
    </w:sdtPr>
    <w:sdtEndPr/>
    <w:sdtContent>
      <w:p w14:paraId="1C415227" w14:textId="4C1A614A" w:rsidR="00D60A29" w:rsidRDefault="00D60A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23C78F" w14:textId="77777777" w:rsidR="00D60A29" w:rsidRDefault="00D60A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872B7" w14:textId="77777777" w:rsidR="00672ADC" w:rsidRDefault="00672ADC" w:rsidP="00E71F1A">
      <w:pPr>
        <w:spacing w:after="0" w:line="240" w:lineRule="auto"/>
      </w:pPr>
      <w:r>
        <w:separator/>
      </w:r>
    </w:p>
  </w:footnote>
  <w:footnote w:type="continuationSeparator" w:id="0">
    <w:p w14:paraId="22EF2DCB" w14:textId="77777777" w:rsidR="00672ADC" w:rsidRDefault="00672ADC" w:rsidP="00E71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1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0126"/>
    </w:tblGrid>
    <w:tr w:rsidR="008A1E28" w:rsidRPr="00532D4C" w14:paraId="458BB131" w14:textId="77777777" w:rsidTr="008A1E28">
      <w:trPr>
        <w:trHeight w:val="1442"/>
      </w:trPr>
      <w:tc>
        <w:tcPr>
          <w:tcW w:w="10126" w:type="dxa"/>
        </w:tcPr>
        <w:p w14:paraId="5D8DB624" w14:textId="7C96C40E" w:rsidR="008A1E28" w:rsidRPr="002E3F0A" w:rsidRDefault="008A1E28" w:rsidP="008A1E28">
          <w:pPr>
            <w:pStyle w:val="Nagwek"/>
            <w:jc w:val="center"/>
            <w:rPr>
              <w:rFonts w:ascii="Calibri" w:eastAsia="Calibri" w:hAnsi="Calibri" w:cs="Times New Roman"/>
              <w:lang w:val="pl-PL"/>
            </w:rPr>
          </w:pPr>
          <w:r w:rsidRPr="002E3F0A">
            <w:rPr>
              <w:rFonts w:eastAsia="Lato" w:cstheme="minorHAnsi"/>
              <w:b/>
              <w:sz w:val="21"/>
              <w:lang w:val="pl-PL"/>
            </w:rPr>
            <w:t xml:space="preserve">1801-ILZ.261.463.2026 </w:t>
          </w:r>
          <w:r w:rsidRPr="002E3F0A">
            <w:rPr>
              <w:rFonts w:eastAsia="Lato" w:cstheme="minorHAnsi"/>
              <w:b/>
              <w:sz w:val="21"/>
              <w:lang w:val="pl-PL"/>
            </w:rPr>
            <w:br/>
          </w:r>
          <w:r w:rsidRPr="002E3F0A">
            <w:rPr>
              <w:rFonts w:eastAsia="Lato" w:cstheme="minorHAnsi"/>
              <w:bCs/>
              <w:sz w:val="21"/>
              <w:lang w:val="pl-PL"/>
            </w:rPr>
            <w:t>Re</w:t>
          </w:r>
          <w:r w:rsidR="000C51F9">
            <w:rPr>
              <w:rFonts w:eastAsia="Lato" w:cstheme="minorHAnsi"/>
              <w:bCs/>
              <w:sz w:val="21"/>
              <w:lang w:val="pl-PL"/>
            </w:rPr>
            <w:t>mont</w:t>
          </w:r>
          <w:r w:rsidRPr="002E3F0A">
            <w:rPr>
              <w:rFonts w:eastAsia="Lato" w:cstheme="minorHAnsi"/>
              <w:bCs/>
              <w:sz w:val="21"/>
              <w:lang w:val="pl-PL"/>
            </w:rPr>
            <w:t xml:space="preserve"> pokrycia dachu płaskiego w technologii płynnej membrany dla XV piętrowego budynku przy ul. Geodetów 1 w Rzeszowie, posadowionego na działce nr 1762 </w:t>
          </w:r>
          <w:proofErr w:type="spellStart"/>
          <w:r w:rsidRPr="002E3F0A">
            <w:rPr>
              <w:rFonts w:eastAsia="Lato" w:cstheme="minorHAnsi"/>
              <w:bCs/>
              <w:sz w:val="21"/>
              <w:lang w:val="pl-PL"/>
            </w:rPr>
            <w:t>obr</w:t>
          </w:r>
          <w:proofErr w:type="spellEnd"/>
          <w:r w:rsidRPr="002E3F0A">
            <w:rPr>
              <w:rFonts w:eastAsia="Lato" w:cstheme="minorHAnsi"/>
              <w:bCs/>
              <w:sz w:val="21"/>
              <w:lang w:val="pl-PL"/>
            </w:rPr>
            <w:t>. 208 Nowe Miasto</w:t>
          </w:r>
        </w:p>
      </w:tc>
    </w:tr>
  </w:tbl>
  <w:p w14:paraId="03C49531" w14:textId="77777777" w:rsidR="003C2A38" w:rsidRDefault="003C2A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74A42"/>
    <w:multiLevelType w:val="hybridMultilevel"/>
    <w:tmpl w:val="2258D0D2"/>
    <w:lvl w:ilvl="0" w:tplc="80F6FCD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9573A"/>
    <w:multiLevelType w:val="hybridMultilevel"/>
    <w:tmpl w:val="2138C6DA"/>
    <w:lvl w:ilvl="0" w:tplc="2BDE45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52780"/>
    <w:multiLevelType w:val="hybridMultilevel"/>
    <w:tmpl w:val="1F685B8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0BE1D72"/>
    <w:multiLevelType w:val="hybridMultilevel"/>
    <w:tmpl w:val="C4A6B8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3A06420B"/>
    <w:multiLevelType w:val="hybridMultilevel"/>
    <w:tmpl w:val="A99A18A0"/>
    <w:lvl w:ilvl="0" w:tplc="74901F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F81"/>
    <w:rsid w:val="000047AC"/>
    <w:rsid w:val="000847A8"/>
    <w:rsid w:val="000C51F9"/>
    <w:rsid w:val="000D6E5C"/>
    <w:rsid w:val="0016799C"/>
    <w:rsid w:val="00181DEE"/>
    <w:rsid w:val="001A71BB"/>
    <w:rsid w:val="00231C90"/>
    <w:rsid w:val="002A3041"/>
    <w:rsid w:val="002C5E8E"/>
    <w:rsid w:val="002C7940"/>
    <w:rsid w:val="002E3F0A"/>
    <w:rsid w:val="00390ADD"/>
    <w:rsid w:val="003C2A38"/>
    <w:rsid w:val="003F36BD"/>
    <w:rsid w:val="0049638D"/>
    <w:rsid w:val="00672ADC"/>
    <w:rsid w:val="006C4D99"/>
    <w:rsid w:val="00815FA7"/>
    <w:rsid w:val="00863261"/>
    <w:rsid w:val="008A1E28"/>
    <w:rsid w:val="008A55B5"/>
    <w:rsid w:val="008D4016"/>
    <w:rsid w:val="00901F72"/>
    <w:rsid w:val="00907554"/>
    <w:rsid w:val="009D2B7C"/>
    <w:rsid w:val="00A22BDA"/>
    <w:rsid w:val="00B016EA"/>
    <w:rsid w:val="00B12CA6"/>
    <w:rsid w:val="00B60139"/>
    <w:rsid w:val="00BC388C"/>
    <w:rsid w:val="00BF1275"/>
    <w:rsid w:val="00C356F5"/>
    <w:rsid w:val="00D60A29"/>
    <w:rsid w:val="00DC1FF6"/>
    <w:rsid w:val="00E01F81"/>
    <w:rsid w:val="00E11D42"/>
    <w:rsid w:val="00E71F1A"/>
    <w:rsid w:val="00E75C3B"/>
    <w:rsid w:val="00F2435F"/>
    <w:rsid w:val="00F34A34"/>
    <w:rsid w:val="00F9242C"/>
    <w:rsid w:val="00FE2751"/>
    <w:rsid w:val="00FF2667"/>
    <w:rsid w:val="00FF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714AEB"/>
  <w15:chartTrackingRefBased/>
  <w15:docId w15:val="{47C3F5E5-5892-49C3-948F-11267377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751"/>
    <w:pPr>
      <w:keepNext/>
      <w:keepLines/>
      <w:spacing w:before="120" w:after="120" w:line="360" w:lineRule="auto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0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ustp">
    <w:name w:val="1. ustęp"/>
    <w:basedOn w:val="Normalny"/>
    <w:link w:val="1ustpZnak"/>
    <w:qFormat/>
    <w:rsid w:val="00FE2751"/>
    <w:pPr>
      <w:keepNext/>
      <w:keepLines/>
      <w:spacing w:after="0" w:line="360" w:lineRule="auto"/>
    </w:pPr>
    <w:rPr>
      <w:rFonts w:ascii="Times New Roman" w:hAnsi="Times New Roman"/>
      <w:sz w:val="24"/>
    </w:rPr>
  </w:style>
  <w:style w:type="character" w:customStyle="1" w:styleId="1ustpZnak">
    <w:name w:val="1. ustęp Znak"/>
    <w:basedOn w:val="Domylnaczcionkaakapitu"/>
    <w:link w:val="1ustp"/>
    <w:rsid w:val="00FE2751"/>
    <w:rPr>
      <w:rFonts w:ascii="Times New Roman" w:hAnsi="Times New Roman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FE2751"/>
    <w:rPr>
      <w:rFonts w:ascii="Times New Roman" w:eastAsiaTheme="majorEastAsia" w:hAnsi="Times New Roman" w:cstheme="majorBidi"/>
      <w:b/>
      <w:sz w:val="24"/>
      <w:szCs w:val="26"/>
    </w:rPr>
  </w:style>
  <w:style w:type="paragraph" w:customStyle="1" w:styleId="1pkt">
    <w:name w:val="1) pkt"/>
    <w:basedOn w:val="Normalny"/>
    <w:link w:val="1pktZnak"/>
    <w:qFormat/>
    <w:rsid w:val="00FE2751"/>
    <w:pPr>
      <w:keepNext/>
      <w:keepLines/>
      <w:spacing w:after="0" w:line="360" w:lineRule="auto"/>
      <w:ind w:left="357"/>
    </w:pPr>
    <w:rPr>
      <w:rFonts w:ascii="Times New Roman" w:hAnsi="Times New Roman"/>
      <w:sz w:val="24"/>
    </w:rPr>
  </w:style>
  <w:style w:type="character" w:customStyle="1" w:styleId="1pktZnak">
    <w:name w:val="1) pkt Znak"/>
    <w:basedOn w:val="Domylnaczcionkaakapitu"/>
    <w:link w:val="1pkt"/>
    <w:rsid w:val="00FE2751"/>
    <w:rPr>
      <w:rFonts w:ascii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1F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1F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1F1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1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1F1A"/>
  </w:style>
  <w:style w:type="paragraph" w:styleId="Stopka">
    <w:name w:val="footer"/>
    <w:basedOn w:val="Normalny"/>
    <w:link w:val="StopkaZnak"/>
    <w:uiPriority w:val="99"/>
    <w:unhideWhenUsed/>
    <w:rsid w:val="00E71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1F1A"/>
  </w:style>
  <w:style w:type="table" w:styleId="Tabela-Siatka">
    <w:name w:val="Table Grid"/>
    <w:basedOn w:val="Standardowy"/>
    <w:rsid w:val="003C2A3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C2A38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36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36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36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36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36B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79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79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79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4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F60F6-6C5D-40CF-93A6-42CA0E2B6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1540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OŚWIADCZENIA  PODMIOTU ZEWNĘTRZNEGO</vt:lpstr>
    </vt:vector>
  </TitlesOfParts>
  <Company/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 PODMIOTU ZEWNĘTRZNEGO</dc:title>
  <dc:subject/>
  <dc:creator>Lipke Sławomir</dc:creator>
  <cp:keywords/>
  <dc:description/>
  <cp:lastModifiedBy>Cieśla Jolanta</cp:lastModifiedBy>
  <cp:revision>6</cp:revision>
  <dcterms:created xsi:type="dcterms:W3CDTF">2026-08-26T08:30:00Z</dcterms:created>
  <dcterms:modified xsi:type="dcterms:W3CDTF">2026-09-15T05:03:00Z</dcterms:modified>
  <cp:category>publiczne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UxC4dwLulzfINJ8nQH+xvX5LNGipWa4BRSZhPgxsCvnD85T2NyAwb/XupD25i6kq/ADXuSZg6B2vUWJyw9jl+Q==</vt:lpwstr>
  </property>
  <property fmtid="{D5CDD505-2E9C-101B-9397-08002B2CF9AE}" pid="4" name="MFClassificationDate">
    <vt:lpwstr>2026-08-19T15:29:07.1216578+02:00</vt:lpwstr>
  </property>
  <property fmtid="{D5CDD505-2E9C-101B-9397-08002B2CF9AE}" pid="5" name="MFClassifiedBySID">
    <vt:lpwstr>UxC4dwLulzfINJ8nQH+xvX5LNGipWa4BRSZhPgxsCvm42mrIC/DSDv0ggS+FjUN/2v1BBotkLlY5aAiEhoi6uTxBlECh2NWnCYVE2JoROSYD1pYcdXRPSfbC3Nqp4uqb</vt:lpwstr>
  </property>
  <property fmtid="{D5CDD505-2E9C-101B-9397-08002B2CF9AE}" pid="6" name="MFGRNItemId">
    <vt:lpwstr>GRN-7c418e36-af57-4acb-bfa8-5ce4ea1175df</vt:lpwstr>
  </property>
  <property fmtid="{D5CDD505-2E9C-101B-9397-08002B2CF9AE}" pid="7" name="MFHash">
    <vt:lpwstr>gsLry0SXOAlrPSm0pA0oDQOtxmC2Vhl3YlzyWlFck/4=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